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09" w:rsidRDefault="003B1809" w:rsidP="003B1809">
      <w:pPr>
        <w:rPr>
          <w:rFonts w:ascii="Arial" w:hAnsi="Arial"/>
          <w:b/>
          <w:u w:val="single"/>
        </w:rPr>
      </w:pPr>
    </w:p>
    <w:p w:rsidR="003B1809" w:rsidRPr="00A900FB" w:rsidRDefault="003B1809" w:rsidP="003B1809">
      <w:pPr>
        <w:rPr>
          <w:rFonts w:ascii="Arial" w:hAnsi="Arial"/>
          <w:b/>
        </w:rPr>
      </w:pPr>
      <w:r w:rsidRPr="00A900FB">
        <w:rPr>
          <w:rFonts w:ascii="Arial" w:hAnsi="Arial"/>
          <w:b/>
          <w:u w:val="single"/>
        </w:rPr>
        <w:t>NARCOTIC PAIN MEDICATION POLICY</w:t>
      </w:r>
    </w:p>
    <w:p w:rsidR="003B1809" w:rsidRPr="00A900FB" w:rsidRDefault="003B1809" w:rsidP="003B1809">
      <w:pPr>
        <w:spacing w:before="240"/>
        <w:jc w:val="both"/>
        <w:rPr>
          <w:rFonts w:ascii="Arial" w:hAnsi="Arial"/>
          <w:sz w:val="22"/>
          <w:szCs w:val="22"/>
        </w:rPr>
      </w:pPr>
      <w:r w:rsidRPr="00A900FB">
        <w:rPr>
          <w:rFonts w:ascii="Arial" w:hAnsi="Arial"/>
          <w:sz w:val="22"/>
          <w:szCs w:val="22"/>
        </w:rPr>
        <w:t>Thank you for choosing Northwest Orthopaedic Specialists, PS., for your Orthopaedic needs.  We will supply appropriate narcotic pain medication for certain acute injuries and post-operative care.  Narcotics are considered safe when used appropriately but side effects may occur, as well as a potential risk of an addictive disorder developing.  Side effects for these medications can be, but are not limited to, drowsiness, urinary retention, constipation, itching, nausea and confusion.  We weigh the risks vs. the benefits before utilizing these medications.  Once we have decided to utilize these medications for pain management, the following conditions MUST be met:</w:t>
      </w:r>
    </w:p>
    <w:p w:rsidR="003B1809" w:rsidRPr="00A900FB" w:rsidRDefault="003B1809" w:rsidP="003B1809">
      <w:pPr>
        <w:jc w:val="both"/>
        <w:rPr>
          <w:rFonts w:ascii="Arial" w:hAnsi="Arial"/>
          <w:sz w:val="22"/>
          <w:szCs w:val="22"/>
        </w:rPr>
      </w:pPr>
    </w:p>
    <w:p w:rsidR="003B1809" w:rsidRPr="00A900FB" w:rsidRDefault="003B1809" w:rsidP="003B1809">
      <w:pPr>
        <w:numPr>
          <w:ilvl w:val="0"/>
          <w:numId w:val="2"/>
        </w:numPr>
        <w:tabs>
          <w:tab w:val="clear" w:pos="720"/>
        </w:tabs>
        <w:spacing w:after="120"/>
        <w:ind w:left="360"/>
        <w:rPr>
          <w:rFonts w:ascii="Arial" w:hAnsi="Arial"/>
          <w:sz w:val="22"/>
          <w:szCs w:val="22"/>
        </w:rPr>
      </w:pPr>
      <w:r w:rsidRPr="00A900FB">
        <w:rPr>
          <w:rFonts w:ascii="Arial" w:hAnsi="Arial"/>
          <w:sz w:val="22"/>
          <w:szCs w:val="22"/>
        </w:rPr>
        <w:t>Pain medications may be supplied for acute injuries and/or a post-operative period following surgery.  Time frame may vary based on condition and will be determined by the provider, but will not exceed 3 months.</w:t>
      </w:r>
    </w:p>
    <w:p w:rsidR="003B1809" w:rsidRPr="00A900FB" w:rsidRDefault="003B1809" w:rsidP="003B1809">
      <w:pPr>
        <w:numPr>
          <w:ilvl w:val="0"/>
          <w:numId w:val="2"/>
        </w:numPr>
        <w:tabs>
          <w:tab w:val="clear" w:pos="720"/>
        </w:tabs>
        <w:spacing w:after="120"/>
        <w:ind w:left="360"/>
        <w:rPr>
          <w:rFonts w:ascii="Arial" w:hAnsi="Arial"/>
          <w:sz w:val="22"/>
          <w:szCs w:val="22"/>
        </w:rPr>
      </w:pPr>
      <w:r w:rsidRPr="00A900FB">
        <w:rPr>
          <w:rFonts w:ascii="Arial" w:hAnsi="Arial"/>
          <w:sz w:val="22"/>
          <w:szCs w:val="22"/>
        </w:rPr>
        <w:t>Additional therapy may be recommended for pain management which you will be required to participate in.</w:t>
      </w:r>
    </w:p>
    <w:p w:rsidR="003B1809" w:rsidRPr="00A900FB" w:rsidRDefault="003B1809" w:rsidP="003B1809">
      <w:pPr>
        <w:numPr>
          <w:ilvl w:val="0"/>
          <w:numId w:val="2"/>
        </w:numPr>
        <w:tabs>
          <w:tab w:val="clear" w:pos="720"/>
        </w:tabs>
        <w:spacing w:after="120"/>
        <w:ind w:left="360"/>
        <w:rPr>
          <w:rFonts w:ascii="Arial" w:hAnsi="Arial"/>
          <w:sz w:val="22"/>
          <w:szCs w:val="22"/>
        </w:rPr>
      </w:pPr>
      <w:r w:rsidRPr="00A900FB">
        <w:rPr>
          <w:rFonts w:ascii="Arial" w:hAnsi="Arial"/>
          <w:sz w:val="22"/>
          <w:szCs w:val="22"/>
        </w:rPr>
        <w:t>You must maintain the dosing schedule prescribed by our clinic.  ANY changes must have prior approval from our clinic.</w:t>
      </w:r>
    </w:p>
    <w:p w:rsidR="003B1809" w:rsidRPr="00A900FB" w:rsidRDefault="003B1809" w:rsidP="003B1809">
      <w:pPr>
        <w:numPr>
          <w:ilvl w:val="0"/>
          <w:numId w:val="2"/>
        </w:numPr>
        <w:tabs>
          <w:tab w:val="clear" w:pos="720"/>
        </w:tabs>
        <w:spacing w:after="120"/>
        <w:ind w:left="360"/>
        <w:rPr>
          <w:rFonts w:ascii="Arial" w:hAnsi="Arial"/>
          <w:sz w:val="22"/>
          <w:szCs w:val="22"/>
        </w:rPr>
      </w:pPr>
      <w:r w:rsidRPr="00A900FB">
        <w:rPr>
          <w:rFonts w:ascii="Arial" w:hAnsi="Arial"/>
          <w:sz w:val="22"/>
          <w:szCs w:val="22"/>
        </w:rPr>
        <w:t>You must not be receiving narcotic medication from any other physicians at the same time we are prescribing these medications unless you have an established pain contract with your Primary Care Physician.</w:t>
      </w:r>
    </w:p>
    <w:p w:rsidR="003B1809" w:rsidRPr="00A900FB" w:rsidRDefault="003B1809" w:rsidP="003B1809">
      <w:pPr>
        <w:numPr>
          <w:ilvl w:val="0"/>
          <w:numId w:val="2"/>
        </w:numPr>
        <w:tabs>
          <w:tab w:val="clear" w:pos="720"/>
        </w:tabs>
        <w:spacing w:after="120"/>
        <w:ind w:left="360"/>
        <w:rPr>
          <w:rFonts w:ascii="Arial" w:hAnsi="Arial"/>
          <w:sz w:val="22"/>
          <w:szCs w:val="22"/>
        </w:rPr>
      </w:pPr>
      <w:r w:rsidRPr="00A900FB">
        <w:rPr>
          <w:rFonts w:ascii="Arial" w:hAnsi="Arial"/>
          <w:sz w:val="22"/>
          <w:szCs w:val="22"/>
        </w:rPr>
        <w:t>You must receive your prescriptions from only one pharmacy.</w:t>
      </w:r>
    </w:p>
    <w:p w:rsidR="003B1809" w:rsidRPr="00A900FB" w:rsidRDefault="003B1809" w:rsidP="003B1809">
      <w:pPr>
        <w:numPr>
          <w:ilvl w:val="0"/>
          <w:numId w:val="2"/>
        </w:numPr>
        <w:tabs>
          <w:tab w:val="clear" w:pos="720"/>
        </w:tabs>
        <w:spacing w:after="120"/>
        <w:ind w:left="360"/>
        <w:rPr>
          <w:rFonts w:ascii="Arial" w:hAnsi="Arial"/>
          <w:sz w:val="22"/>
          <w:szCs w:val="22"/>
        </w:rPr>
      </w:pPr>
      <w:r w:rsidRPr="00A900FB">
        <w:rPr>
          <w:rFonts w:ascii="Arial" w:hAnsi="Arial"/>
          <w:sz w:val="22"/>
          <w:szCs w:val="22"/>
        </w:rPr>
        <w:t>You understand that prescriptions that are lost, stolen, accidentally disposed of, or consumed before the appropriate date, will not be refilled.</w:t>
      </w:r>
    </w:p>
    <w:p w:rsidR="003B1809" w:rsidRPr="00A900FB" w:rsidRDefault="003B1809" w:rsidP="003B1809">
      <w:pPr>
        <w:numPr>
          <w:ilvl w:val="0"/>
          <w:numId w:val="2"/>
        </w:numPr>
        <w:tabs>
          <w:tab w:val="clear" w:pos="720"/>
        </w:tabs>
        <w:spacing w:after="120"/>
        <w:ind w:left="360"/>
        <w:rPr>
          <w:rFonts w:ascii="Arial" w:hAnsi="Arial"/>
          <w:sz w:val="22"/>
          <w:szCs w:val="22"/>
        </w:rPr>
      </w:pPr>
      <w:r w:rsidRPr="00A900FB">
        <w:rPr>
          <w:rFonts w:ascii="Arial" w:hAnsi="Arial"/>
          <w:sz w:val="22"/>
          <w:szCs w:val="22"/>
        </w:rPr>
        <w:t xml:space="preserve">We will not dispense narcotic drugs after office hours or on weekends.  NO EXCEPTIONS.  </w:t>
      </w:r>
    </w:p>
    <w:p w:rsidR="003B1809" w:rsidRPr="00A900FB" w:rsidRDefault="003B1809" w:rsidP="003B1809">
      <w:pPr>
        <w:numPr>
          <w:ilvl w:val="0"/>
          <w:numId w:val="2"/>
        </w:numPr>
        <w:tabs>
          <w:tab w:val="clear" w:pos="720"/>
        </w:tabs>
        <w:spacing w:after="120"/>
        <w:ind w:left="360"/>
        <w:rPr>
          <w:rFonts w:ascii="Arial" w:hAnsi="Arial"/>
          <w:sz w:val="22"/>
          <w:szCs w:val="22"/>
        </w:rPr>
      </w:pPr>
      <w:r w:rsidRPr="00A900FB">
        <w:rPr>
          <w:rFonts w:ascii="Arial" w:hAnsi="Arial"/>
          <w:sz w:val="22"/>
          <w:szCs w:val="22"/>
        </w:rPr>
        <w:t xml:space="preserve">You must call your pharmacy for refills and give </w:t>
      </w:r>
      <w:r w:rsidRPr="00A900FB">
        <w:rPr>
          <w:rFonts w:ascii="Arial" w:hAnsi="Arial"/>
          <w:b/>
          <w:sz w:val="22"/>
          <w:szCs w:val="22"/>
        </w:rPr>
        <w:t xml:space="preserve">48 HOURS NOTICE </w:t>
      </w:r>
      <w:r w:rsidRPr="00A900FB">
        <w:rPr>
          <w:rFonts w:ascii="Arial" w:hAnsi="Arial"/>
          <w:sz w:val="22"/>
          <w:szCs w:val="22"/>
        </w:rPr>
        <w:t>for prescription refills</w:t>
      </w:r>
      <w:r w:rsidRPr="00A900FB">
        <w:rPr>
          <w:rFonts w:ascii="Arial" w:hAnsi="Arial"/>
          <w:b/>
          <w:sz w:val="22"/>
          <w:szCs w:val="22"/>
        </w:rPr>
        <w:t xml:space="preserve">.  </w:t>
      </w:r>
      <w:r w:rsidRPr="00A900FB">
        <w:rPr>
          <w:rFonts w:ascii="Arial" w:hAnsi="Arial"/>
          <w:sz w:val="22"/>
          <w:szCs w:val="22"/>
        </w:rPr>
        <w:t>NO EXCEPTIONS.</w:t>
      </w:r>
    </w:p>
    <w:p w:rsidR="003B1809" w:rsidRPr="00A900FB" w:rsidRDefault="003B1809" w:rsidP="003B1809">
      <w:pPr>
        <w:numPr>
          <w:ilvl w:val="0"/>
          <w:numId w:val="2"/>
        </w:numPr>
        <w:tabs>
          <w:tab w:val="clear" w:pos="720"/>
        </w:tabs>
        <w:ind w:left="360"/>
        <w:rPr>
          <w:rFonts w:ascii="Arial" w:hAnsi="Arial"/>
          <w:sz w:val="22"/>
          <w:szCs w:val="22"/>
        </w:rPr>
      </w:pPr>
      <w:r w:rsidRPr="00A900FB">
        <w:rPr>
          <w:rFonts w:ascii="Arial" w:hAnsi="Arial"/>
          <w:sz w:val="22"/>
          <w:szCs w:val="22"/>
        </w:rPr>
        <w:t>If you require chronic pain medication past the normal acute injury care or post-operative period, you will need to return to your primary care physician for refill consideration.</w:t>
      </w:r>
    </w:p>
    <w:p w:rsidR="003B1809" w:rsidRPr="00A900FB" w:rsidRDefault="003B1809" w:rsidP="003B1809">
      <w:pPr>
        <w:numPr>
          <w:ilvl w:val="0"/>
          <w:numId w:val="2"/>
        </w:numPr>
        <w:tabs>
          <w:tab w:val="clear" w:pos="720"/>
        </w:tabs>
        <w:spacing w:before="120"/>
        <w:ind w:left="360"/>
        <w:rPr>
          <w:rFonts w:ascii="Arial" w:hAnsi="Arial"/>
          <w:sz w:val="22"/>
          <w:szCs w:val="22"/>
        </w:rPr>
      </w:pPr>
      <w:r w:rsidRPr="00A900FB">
        <w:rPr>
          <w:rFonts w:ascii="Arial" w:hAnsi="Arial"/>
          <w:sz w:val="22"/>
          <w:szCs w:val="22"/>
        </w:rPr>
        <w:t>If you receive controlled medications from another health care professional you agree to inform us of the medications prescribed and by whom.</w:t>
      </w:r>
    </w:p>
    <w:p w:rsidR="003B1809" w:rsidRPr="00A900FB" w:rsidRDefault="003B1809" w:rsidP="003B1809">
      <w:pPr>
        <w:spacing w:before="240"/>
        <w:jc w:val="both"/>
        <w:rPr>
          <w:rFonts w:ascii="Arial" w:hAnsi="Arial"/>
          <w:sz w:val="22"/>
          <w:szCs w:val="22"/>
        </w:rPr>
      </w:pPr>
      <w:r w:rsidRPr="00A900FB">
        <w:rPr>
          <w:rFonts w:ascii="Arial" w:hAnsi="Arial"/>
          <w:sz w:val="22"/>
          <w:szCs w:val="22"/>
        </w:rPr>
        <w:t>We reserve the right to discontinue care should you not comply with the above conditions.</w:t>
      </w:r>
    </w:p>
    <w:p w:rsidR="003B1809" w:rsidRDefault="003B1809" w:rsidP="003B1809">
      <w:pPr>
        <w:spacing w:before="120"/>
        <w:jc w:val="both"/>
        <w:rPr>
          <w:rFonts w:ascii="Arial" w:hAnsi="Arial"/>
          <w:sz w:val="22"/>
          <w:szCs w:val="22"/>
        </w:rPr>
      </w:pPr>
      <w:bookmarkStart w:id="0" w:name="_GoBack"/>
      <w:bookmarkEnd w:id="0"/>
      <w:r w:rsidRPr="00A900FB">
        <w:rPr>
          <w:rFonts w:ascii="Arial" w:hAnsi="Arial"/>
          <w:sz w:val="22"/>
          <w:szCs w:val="22"/>
        </w:rPr>
        <w:t>I HAVE READ THE ABOVE CONDITIONS AND WILL ABIDE BY THEM:</w:t>
      </w:r>
    </w:p>
    <w:p w:rsidR="003B1809" w:rsidRPr="00A900FB" w:rsidRDefault="003B1809" w:rsidP="003B1809">
      <w:pPr>
        <w:jc w:val="both"/>
        <w:rPr>
          <w:rFonts w:ascii="Arial" w:hAnsi="Arial"/>
          <w:sz w:val="22"/>
          <w:szCs w:val="22"/>
        </w:rPr>
      </w:pPr>
    </w:p>
    <w:p w:rsidR="003B1809" w:rsidRPr="00A900FB" w:rsidRDefault="003B1809" w:rsidP="003B1809">
      <w:pPr>
        <w:jc w:val="both"/>
        <w:rPr>
          <w:rFonts w:ascii="Arial" w:hAnsi="Arial"/>
          <w:sz w:val="22"/>
          <w:szCs w:val="22"/>
        </w:rPr>
      </w:pPr>
    </w:p>
    <w:tbl>
      <w:tblPr>
        <w:tblW w:w="10626" w:type="dxa"/>
        <w:tblLook w:val="04A0" w:firstRow="1" w:lastRow="0" w:firstColumn="1" w:lastColumn="0" w:noHBand="0" w:noVBand="1"/>
      </w:tblPr>
      <w:tblGrid>
        <w:gridCol w:w="4705"/>
        <w:gridCol w:w="1129"/>
        <w:gridCol w:w="4792"/>
      </w:tblGrid>
      <w:tr w:rsidR="003B1809" w:rsidRPr="00A900FB" w:rsidTr="00BB40EB">
        <w:trPr>
          <w:trHeight w:val="249"/>
        </w:trPr>
        <w:tc>
          <w:tcPr>
            <w:tcW w:w="4705" w:type="dxa"/>
            <w:tcBorders>
              <w:bottom w:val="single" w:sz="4" w:space="0" w:color="auto"/>
            </w:tcBorders>
          </w:tcPr>
          <w:p w:rsidR="003B1809" w:rsidRPr="00A900FB" w:rsidRDefault="003B1809" w:rsidP="00BB40EB">
            <w:pPr>
              <w:jc w:val="both"/>
              <w:rPr>
                <w:rFonts w:ascii="Arial" w:hAnsi="Arial"/>
                <w:sz w:val="22"/>
                <w:szCs w:val="22"/>
              </w:rPr>
            </w:pPr>
          </w:p>
        </w:tc>
        <w:tc>
          <w:tcPr>
            <w:tcW w:w="1129" w:type="dxa"/>
          </w:tcPr>
          <w:p w:rsidR="003B1809" w:rsidRPr="00A900FB" w:rsidRDefault="003B1809" w:rsidP="00BB40EB">
            <w:pPr>
              <w:jc w:val="both"/>
              <w:rPr>
                <w:rFonts w:ascii="Arial" w:hAnsi="Arial"/>
                <w:sz w:val="22"/>
                <w:szCs w:val="22"/>
              </w:rPr>
            </w:pPr>
          </w:p>
        </w:tc>
        <w:tc>
          <w:tcPr>
            <w:tcW w:w="4792" w:type="dxa"/>
            <w:tcBorders>
              <w:bottom w:val="single" w:sz="4" w:space="0" w:color="auto"/>
            </w:tcBorders>
          </w:tcPr>
          <w:p w:rsidR="003B1809" w:rsidRPr="00A900FB" w:rsidRDefault="003B1809" w:rsidP="00BB40EB">
            <w:pPr>
              <w:jc w:val="both"/>
              <w:rPr>
                <w:rFonts w:ascii="Arial" w:hAnsi="Arial"/>
                <w:sz w:val="22"/>
                <w:szCs w:val="22"/>
              </w:rPr>
            </w:pPr>
          </w:p>
        </w:tc>
      </w:tr>
      <w:tr w:rsidR="003B1809" w:rsidRPr="00A900FB" w:rsidTr="00BB40EB">
        <w:trPr>
          <w:trHeight w:val="235"/>
        </w:trPr>
        <w:tc>
          <w:tcPr>
            <w:tcW w:w="4705" w:type="dxa"/>
            <w:tcBorders>
              <w:top w:val="single" w:sz="4" w:space="0" w:color="auto"/>
            </w:tcBorders>
            <w:tcMar>
              <w:top w:w="43" w:type="dxa"/>
              <w:left w:w="115" w:type="dxa"/>
              <w:right w:w="115" w:type="dxa"/>
            </w:tcMar>
          </w:tcPr>
          <w:p w:rsidR="003B1809" w:rsidRPr="00A900FB" w:rsidRDefault="003B1809" w:rsidP="00BB40EB">
            <w:pPr>
              <w:jc w:val="both"/>
              <w:rPr>
                <w:rFonts w:ascii="Arial" w:hAnsi="Arial"/>
                <w:sz w:val="22"/>
                <w:szCs w:val="22"/>
              </w:rPr>
            </w:pPr>
            <w:r w:rsidRPr="00A900FB">
              <w:rPr>
                <w:rFonts w:ascii="Arial" w:hAnsi="Arial"/>
                <w:sz w:val="22"/>
                <w:szCs w:val="22"/>
              </w:rPr>
              <w:t>PATIENT SIGNATURE</w:t>
            </w:r>
          </w:p>
        </w:tc>
        <w:tc>
          <w:tcPr>
            <w:tcW w:w="1129" w:type="dxa"/>
            <w:tcMar>
              <w:top w:w="43" w:type="dxa"/>
              <w:left w:w="115" w:type="dxa"/>
              <w:right w:w="115" w:type="dxa"/>
            </w:tcMar>
          </w:tcPr>
          <w:p w:rsidR="003B1809" w:rsidRPr="00A900FB" w:rsidRDefault="003B1809" w:rsidP="00BB40EB">
            <w:pPr>
              <w:jc w:val="both"/>
              <w:rPr>
                <w:rFonts w:ascii="Arial" w:hAnsi="Arial"/>
                <w:sz w:val="22"/>
                <w:szCs w:val="22"/>
              </w:rPr>
            </w:pPr>
          </w:p>
        </w:tc>
        <w:tc>
          <w:tcPr>
            <w:tcW w:w="4792" w:type="dxa"/>
            <w:tcBorders>
              <w:top w:val="single" w:sz="4" w:space="0" w:color="auto"/>
            </w:tcBorders>
            <w:tcMar>
              <w:top w:w="43" w:type="dxa"/>
              <w:left w:w="115" w:type="dxa"/>
              <w:right w:w="115" w:type="dxa"/>
            </w:tcMar>
          </w:tcPr>
          <w:p w:rsidR="003B1809" w:rsidRPr="00A900FB" w:rsidRDefault="003B1809" w:rsidP="00BB40EB">
            <w:pPr>
              <w:jc w:val="both"/>
              <w:rPr>
                <w:rFonts w:ascii="Arial" w:hAnsi="Arial"/>
                <w:sz w:val="22"/>
                <w:szCs w:val="22"/>
              </w:rPr>
            </w:pPr>
            <w:r w:rsidRPr="00A900FB">
              <w:rPr>
                <w:rFonts w:ascii="Arial" w:hAnsi="Arial"/>
                <w:sz w:val="22"/>
                <w:szCs w:val="22"/>
              </w:rPr>
              <w:t>DATE</w:t>
            </w:r>
          </w:p>
        </w:tc>
      </w:tr>
      <w:tr w:rsidR="003B1809" w:rsidRPr="00A900FB" w:rsidTr="00BB40EB">
        <w:trPr>
          <w:trHeight w:val="499"/>
        </w:trPr>
        <w:tc>
          <w:tcPr>
            <w:tcW w:w="4705" w:type="dxa"/>
            <w:tcBorders>
              <w:bottom w:val="single" w:sz="4" w:space="0" w:color="auto"/>
            </w:tcBorders>
          </w:tcPr>
          <w:p w:rsidR="003B1809" w:rsidRPr="00A900FB" w:rsidRDefault="003B1809" w:rsidP="00BB40EB">
            <w:pPr>
              <w:jc w:val="both"/>
              <w:rPr>
                <w:rFonts w:ascii="Arial" w:hAnsi="Arial"/>
                <w:sz w:val="22"/>
                <w:szCs w:val="22"/>
              </w:rPr>
            </w:pPr>
          </w:p>
          <w:p w:rsidR="003B1809" w:rsidRPr="00A900FB" w:rsidRDefault="003B1809" w:rsidP="00BB40EB">
            <w:pPr>
              <w:jc w:val="both"/>
              <w:rPr>
                <w:rFonts w:ascii="Arial" w:hAnsi="Arial"/>
                <w:sz w:val="22"/>
                <w:szCs w:val="22"/>
              </w:rPr>
            </w:pPr>
          </w:p>
        </w:tc>
        <w:tc>
          <w:tcPr>
            <w:tcW w:w="1129" w:type="dxa"/>
          </w:tcPr>
          <w:p w:rsidR="003B1809" w:rsidRPr="00A900FB" w:rsidRDefault="003B1809" w:rsidP="00BB40EB">
            <w:pPr>
              <w:jc w:val="both"/>
              <w:rPr>
                <w:rFonts w:ascii="Arial" w:hAnsi="Arial"/>
                <w:sz w:val="22"/>
                <w:szCs w:val="22"/>
              </w:rPr>
            </w:pPr>
          </w:p>
        </w:tc>
        <w:tc>
          <w:tcPr>
            <w:tcW w:w="4792" w:type="dxa"/>
            <w:tcBorders>
              <w:bottom w:val="single" w:sz="4" w:space="0" w:color="auto"/>
            </w:tcBorders>
          </w:tcPr>
          <w:p w:rsidR="003B1809" w:rsidRDefault="003B1809" w:rsidP="00BB40EB">
            <w:pPr>
              <w:jc w:val="both"/>
              <w:rPr>
                <w:rFonts w:ascii="Arial" w:hAnsi="Arial"/>
                <w:sz w:val="22"/>
                <w:szCs w:val="22"/>
              </w:rPr>
            </w:pPr>
          </w:p>
          <w:p w:rsidR="003B1809" w:rsidRPr="00A900FB" w:rsidRDefault="003B1809" w:rsidP="00BB40EB">
            <w:pPr>
              <w:jc w:val="both"/>
              <w:rPr>
                <w:rFonts w:ascii="Arial" w:hAnsi="Arial"/>
                <w:sz w:val="22"/>
                <w:szCs w:val="22"/>
              </w:rPr>
            </w:pPr>
          </w:p>
        </w:tc>
      </w:tr>
      <w:tr w:rsidR="003B1809" w:rsidRPr="00A900FB" w:rsidTr="00BB40EB">
        <w:trPr>
          <w:trHeight w:val="249"/>
        </w:trPr>
        <w:tc>
          <w:tcPr>
            <w:tcW w:w="4705" w:type="dxa"/>
            <w:tcBorders>
              <w:top w:val="single" w:sz="4" w:space="0" w:color="auto"/>
            </w:tcBorders>
            <w:tcMar>
              <w:top w:w="43" w:type="dxa"/>
              <w:left w:w="115" w:type="dxa"/>
              <w:right w:w="115" w:type="dxa"/>
            </w:tcMar>
          </w:tcPr>
          <w:p w:rsidR="003B1809" w:rsidRPr="00A900FB" w:rsidRDefault="003B1809" w:rsidP="00BB40EB">
            <w:pPr>
              <w:jc w:val="both"/>
              <w:rPr>
                <w:rFonts w:ascii="Arial" w:hAnsi="Arial"/>
                <w:sz w:val="22"/>
                <w:szCs w:val="22"/>
              </w:rPr>
            </w:pPr>
            <w:r w:rsidRPr="00A900FB">
              <w:rPr>
                <w:rFonts w:ascii="Arial" w:hAnsi="Arial"/>
                <w:sz w:val="22"/>
                <w:szCs w:val="22"/>
              </w:rPr>
              <w:t>PRINT PATIENT NAME</w:t>
            </w:r>
          </w:p>
        </w:tc>
        <w:tc>
          <w:tcPr>
            <w:tcW w:w="1129" w:type="dxa"/>
            <w:tcMar>
              <w:top w:w="43" w:type="dxa"/>
              <w:left w:w="115" w:type="dxa"/>
              <w:right w:w="115" w:type="dxa"/>
            </w:tcMar>
          </w:tcPr>
          <w:p w:rsidR="003B1809" w:rsidRPr="00A900FB" w:rsidRDefault="003B1809" w:rsidP="00BB40EB">
            <w:pPr>
              <w:jc w:val="both"/>
              <w:rPr>
                <w:rFonts w:ascii="Arial" w:hAnsi="Arial"/>
                <w:sz w:val="22"/>
                <w:szCs w:val="22"/>
              </w:rPr>
            </w:pPr>
          </w:p>
        </w:tc>
        <w:tc>
          <w:tcPr>
            <w:tcW w:w="4792" w:type="dxa"/>
            <w:tcBorders>
              <w:top w:val="single" w:sz="4" w:space="0" w:color="auto"/>
            </w:tcBorders>
            <w:tcMar>
              <w:top w:w="43" w:type="dxa"/>
              <w:left w:w="115" w:type="dxa"/>
              <w:right w:w="115" w:type="dxa"/>
            </w:tcMar>
          </w:tcPr>
          <w:p w:rsidR="003B1809" w:rsidRPr="00ED1D21" w:rsidRDefault="003B1809" w:rsidP="00BB40EB">
            <w:pPr>
              <w:jc w:val="both"/>
              <w:rPr>
                <w:rFonts w:ascii="Arial" w:hAnsi="Arial" w:cs="Arial"/>
                <w:sz w:val="22"/>
                <w:szCs w:val="22"/>
              </w:rPr>
            </w:pPr>
            <w:r>
              <w:rPr>
                <w:rFonts w:ascii="Arial" w:hAnsi="Arial" w:cs="Arial"/>
                <w:sz w:val="22"/>
                <w:szCs w:val="22"/>
              </w:rPr>
              <w:t>PATIENT BIRTHDATE</w:t>
            </w:r>
          </w:p>
        </w:tc>
      </w:tr>
    </w:tbl>
    <w:p w:rsidR="003B1809" w:rsidRDefault="003B1809" w:rsidP="003B1809"/>
    <w:p w:rsidR="003B1809" w:rsidRPr="0023127E" w:rsidRDefault="003B1809" w:rsidP="003B1809">
      <w:pPr>
        <w:jc w:val="center"/>
        <w:rPr>
          <w:rFonts w:ascii="Arial" w:hAnsi="Arial" w:cs="Arial"/>
        </w:rPr>
      </w:pPr>
    </w:p>
    <w:p w:rsidR="002520C2" w:rsidRPr="002557CE" w:rsidRDefault="002520C2" w:rsidP="002557CE"/>
    <w:sectPr w:rsidR="002520C2" w:rsidRPr="002557CE" w:rsidSect="002557CE">
      <w:headerReference w:type="default" r:id="rId9"/>
      <w:footerReference w:type="default" r:id="rId10"/>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101" w:rsidRDefault="001E5101" w:rsidP="00F51A4F">
      <w:r>
        <w:separator/>
      </w:r>
    </w:p>
  </w:endnote>
  <w:endnote w:type="continuationSeparator" w:id="0">
    <w:p w:rsidR="001E5101" w:rsidRDefault="001E5101" w:rsidP="00F5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Avenir Book">
    <w:altName w:val="Times New Roman"/>
    <w:charset w:val="00"/>
    <w:family w:val="auto"/>
    <w:pitch w:val="variable"/>
    <w:sig w:usb0="00000001" w:usb1="5000204A" w:usb2="00000000" w:usb3="00000000" w:csb0="0000009B" w:csb1="00000000"/>
  </w:font>
  <w:font w:name="Avenir Black">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enir Heavy">
    <w:altName w:val="Trebuchet MS"/>
    <w:charset w:val="4D"/>
    <w:family w:val="swiss"/>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10" w:type="dxa"/>
      <w:tblInd w:w="502" w:type="dxa"/>
      <w:tblBorders>
        <w:top w:val="single" w:sz="6" w:space="0" w:color="4EA9DC"/>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0"/>
      <w:gridCol w:w="1530"/>
      <w:gridCol w:w="1620"/>
      <w:gridCol w:w="2880"/>
      <w:gridCol w:w="1980"/>
    </w:tblGrid>
    <w:tr w:rsidR="00945DA6" w:rsidTr="002557CE">
      <w:trPr>
        <w:trHeight w:val="576"/>
      </w:trPr>
      <w:tc>
        <w:tcPr>
          <w:tcW w:w="1800" w:type="dxa"/>
          <w:vAlign w:val="bottom"/>
        </w:tcPr>
        <w:p w:rsidR="00B80574" w:rsidRPr="00B40E8E" w:rsidRDefault="00B80574" w:rsidP="002E2292">
          <w:pPr>
            <w:pStyle w:val="OneAECHeadline"/>
            <w:spacing w:line="276" w:lineRule="auto"/>
            <w:rPr>
              <w:rFonts w:ascii="Arial" w:hAnsi="Arial" w:cs="Arial"/>
              <w:b/>
              <w:bCs/>
              <w:color w:val="2A5168"/>
              <w:sz w:val="16"/>
              <w:szCs w:val="16"/>
            </w:rPr>
          </w:pPr>
          <w:r w:rsidRPr="00B40E8E">
            <w:rPr>
              <w:rFonts w:ascii="Arial" w:hAnsi="Arial" w:cs="Arial"/>
              <w:b/>
              <w:bCs/>
              <w:color w:val="2A5168"/>
              <w:sz w:val="16"/>
              <w:szCs w:val="16"/>
            </w:rPr>
            <w:t>Downtown Spokane</w:t>
          </w:r>
        </w:p>
        <w:p w:rsidR="00691F98" w:rsidRPr="00B40E8E" w:rsidRDefault="007E57EE" w:rsidP="002E2292">
          <w:pPr>
            <w:pStyle w:val="OneAECHeadline"/>
            <w:spacing w:line="276" w:lineRule="auto"/>
            <w:rPr>
              <w:rFonts w:ascii="Arial" w:hAnsi="Arial" w:cs="Arial"/>
              <w:bCs/>
              <w:color w:val="002860"/>
              <w:sz w:val="16"/>
              <w:szCs w:val="16"/>
            </w:rPr>
          </w:pPr>
          <w:r w:rsidRPr="00B40E8E">
            <w:rPr>
              <w:rFonts w:ascii="Arial" w:hAnsi="Arial" w:cs="Arial"/>
              <w:bCs/>
              <w:color w:val="2A5168"/>
              <w:sz w:val="16"/>
              <w:szCs w:val="16"/>
            </w:rPr>
            <w:t>509-344-2663</w:t>
          </w:r>
        </w:p>
      </w:tc>
      <w:tc>
        <w:tcPr>
          <w:tcW w:w="1530" w:type="dxa"/>
          <w:vAlign w:val="bottom"/>
        </w:tcPr>
        <w:p w:rsidR="00B80574" w:rsidRPr="00B40E8E" w:rsidRDefault="00B80574" w:rsidP="002E2292">
          <w:pPr>
            <w:pStyle w:val="OneAECHeadline"/>
            <w:spacing w:line="276" w:lineRule="auto"/>
            <w:rPr>
              <w:rFonts w:ascii="Arial" w:hAnsi="Arial" w:cs="Arial"/>
              <w:b/>
              <w:bCs/>
              <w:color w:val="2A5168"/>
              <w:sz w:val="16"/>
              <w:szCs w:val="16"/>
            </w:rPr>
          </w:pPr>
          <w:r w:rsidRPr="00B40E8E">
            <w:rPr>
              <w:rFonts w:ascii="Arial" w:hAnsi="Arial" w:cs="Arial"/>
              <w:b/>
              <w:bCs/>
              <w:color w:val="2A5168"/>
              <w:sz w:val="16"/>
              <w:szCs w:val="16"/>
            </w:rPr>
            <w:t>North Spokane</w:t>
          </w:r>
        </w:p>
        <w:p w:rsidR="007E57EE" w:rsidRPr="00B40E8E" w:rsidRDefault="007E57EE" w:rsidP="002E2292">
          <w:pPr>
            <w:pStyle w:val="OneAECHeadline"/>
            <w:spacing w:line="276" w:lineRule="auto"/>
            <w:rPr>
              <w:rFonts w:ascii="Arial" w:hAnsi="Arial" w:cs="Arial"/>
              <w:bCs/>
              <w:color w:val="002860"/>
              <w:sz w:val="16"/>
              <w:szCs w:val="16"/>
            </w:rPr>
          </w:pPr>
          <w:r w:rsidRPr="00B40E8E">
            <w:rPr>
              <w:rFonts w:ascii="Arial" w:hAnsi="Arial" w:cs="Arial"/>
              <w:bCs/>
              <w:color w:val="2A5168"/>
              <w:sz w:val="16"/>
              <w:szCs w:val="16"/>
            </w:rPr>
            <w:t>509-465-1300</w:t>
          </w:r>
        </w:p>
      </w:tc>
      <w:tc>
        <w:tcPr>
          <w:tcW w:w="1620" w:type="dxa"/>
          <w:vAlign w:val="bottom"/>
        </w:tcPr>
        <w:p w:rsidR="00B80574" w:rsidRPr="00B40E8E" w:rsidRDefault="00B80574" w:rsidP="002E2292">
          <w:pPr>
            <w:pStyle w:val="OneAECHeadline"/>
            <w:spacing w:line="276" w:lineRule="auto"/>
            <w:rPr>
              <w:rFonts w:ascii="Arial" w:hAnsi="Arial" w:cs="Arial"/>
              <w:b/>
              <w:bCs/>
              <w:color w:val="2A5168"/>
              <w:sz w:val="16"/>
              <w:szCs w:val="16"/>
            </w:rPr>
          </w:pPr>
          <w:r w:rsidRPr="00B40E8E">
            <w:rPr>
              <w:rFonts w:ascii="Arial" w:hAnsi="Arial" w:cs="Arial"/>
              <w:b/>
              <w:bCs/>
              <w:color w:val="2A5168"/>
              <w:sz w:val="16"/>
              <w:szCs w:val="16"/>
            </w:rPr>
            <w:t>Spokane Valley</w:t>
          </w:r>
        </w:p>
        <w:p w:rsidR="007E57EE" w:rsidRPr="00B40E8E" w:rsidRDefault="007E57EE" w:rsidP="002E2292">
          <w:pPr>
            <w:pStyle w:val="OneAECHeadline"/>
            <w:spacing w:line="276" w:lineRule="auto"/>
            <w:rPr>
              <w:rFonts w:ascii="Arial" w:hAnsi="Arial" w:cs="Arial"/>
              <w:bCs/>
              <w:color w:val="002860"/>
              <w:sz w:val="16"/>
              <w:szCs w:val="16"/>
            </w:rPr>
          </w:pPr>
          <w:r w:rsidRPr="00B40E8E">
            <w:rPr>
              <w:rFonts w:ascii="Arial" w:hAnsi="Arial" w:cs="Arial"/>
              <w:bCs/>
              <w:color w:val="2A5168"/>
              <w:sz w:val="16"/>
              <w:szCs w:val="16"/>
            </w:rPr>
            <w:t>509-928-4334</w:t>
          </w:r>
        </w:p>
      </w:tc>
      <w:tc>
        <w:tcPr>
          <w:tcW w:w="2880" w:type="dxa"/>
          <w:vAlign w:val="bottom"/>
        </w:tcPr>
        <w:p w:rsidR="007E57EE" w:rsidRPr="00B40E8E" w:rsidRDefault="00B80574" w:rsidP="002E2292">
          <w:pPr>
            <w:pStyle w:val="OneAECHeadline"/>
            <w:spacing w:line="276" w:lineRule="auto"/>
            <w:rPr>
              <w:rFonts w:ascii="Arial" w:hAnsi="Arial" w:cs="Arial"/>
              <w:b/>
              <w:bCs/>
              <w:color w:val="2A5168"/>
              <w:sz w:val="16"/>
              <w:szCs w:val="16"/>
            </w:rPr>
          </w:pPr>
          <w:r w:rsidRPr="00B40E8E">
            <w:rPr>
              <w:rFonts w:ascii="Arial" w:hAnsi="Arial" w:cs="Arial"/>
              <w:b/>
              <w:bCs/>
              <w:color w:val="2A5168"/>
              <w:sz w:val="16"/>
              <w:szCs w:val="16"/>
            </w:rPr>
            <w:t>The Orthopaedic Surgery Center</w:t>
          </w:r>
        </w:p>
        <w:p w:rsidR="007E57EE" w:rsidRPr="00B40E8E" w:rsidRDefault="007E57EE" w:rsidP="002E2292">
          <w:pPr>
            <w:pStyle w:val="OneAECHeadline"/>
            <w:spacing w:line="276" w:lineRule="auto"/>
            <w:rPr>
              <w:rFonts w:ascii="Arial" w:hAnsi="Arial" w:cs="Arial"/>
              <w:b/>
              <w:bCs/>
              <w:color w:val="002860"/>
              <w:sz w:val="16"/>
              <w:szCs w:val="16"/>
            </w:rPr>
          </w:pPr>
          <w:r w:rsidRPr="00B40E8E">
            <w:rPr>
              <w:rFonts w:ascii="Arial" w:hAnsi="Arial" w:cs="Arial"/>
              <w:bCs/>
              <w:color w:val="2A5168"/>
              <w:sz w:val="16"/>
              <w:szCs w:val="16"/>
            </w:rPr>
            <w:t>509-343-3860</w:t>
          </w:r>
        </w:p>
      </w:tc>
      <w:tc>
        <w:tcPr>
          <w:tcW w:w="1980" w:type="dxa"/>
          <w:vAlign w:val="bottom"/>
        </w:tcPr>
        <w:p w:rsidR="00B80574" w:rsidRPr="00B40E8E" w:rsidRDefault="00B80574" w:rsidP="002E2292">
          <w:pPr>
            <w:pStyle w:val="OneAECHeadline"/>
            <w:spacing w:line="276" w:lineRule="auto"/>
            <w:rPr>
              <w:rFonts w:ascii="Arial" w:hAnsi="Arial" w:cs="Arial"/>
              <w:b/>
              <w:bCs/>
              <w:color w:val="2A5168"/>
              <w:sz w:val="16"/>
              <w:szCs w:val="16"/>
            </w:rPr>
          </w:pPr>
          <w:r w:rsidRPr="00B40E8E">
            <w:rPr>
              <w:rFonts w:ascii="Arial" w:hAnsi="Arial" w:cs="Arial"/>
              <w:b/>
              <w:bCs/>
              <w:color w:val="2A5168"/>
              <w:sz w:val="16"/>
              <w:szCs w:val="16"/>
            </w:rPr>
            <w:t>NW Orthopaedic Express</w:t>
          </w:r>
        </w:p>
        <w:p w:rsidR="007E57EE" w:rsidRPr="00B40E8E" w:rsidRDefault="007E57EE" w:rsidP="002E2292">
          <w:pPr>
            <w:pStyle w:val="OneAECHeadline"/>
            <w:spacing w:line="276" w:lineRule="auto"/>
            <w:rPr>
              <w:rFonts w:ascii="Arial" w:hAnsi="Arial" w:cs="Arial"/>
              <w:bCs/>
              <w:color w:val="002860"/>
              <w:sz w:val="16"/>
              <w:szCs w:val="16"/>
            </w:rPr>
          </w:pPr>
          <w:r w:rsidRPr="00B40E8E">
            <w:rPr>
              <w:rFonts w:ascii="Arial" w:hAnsi="Arial" w:cs="Arial"/>
              <w:bCs/>
              <w:color w:val="2A5168"/>
              <w:sz w:val="16"/>
              <w:szCs w:val="16"/>
            </w:rPr>
            <w:t>509-343-3854</w:t>
          </w:r>
        </w:p>
      </w:tc>
    </w:tr>
  </w:tbl>
  <w:p w:rsidR="00B80574" w:rsidRPr="00B80574" w:rsidRDefault="00B80574" w:rsidP="00B80574">
    <w:pPr>
      <w:pStyle w:val="OneAECHeadline"/>
      <w:rPr>
        <w:rFonts w:ascii="Arial" w:hAnsi="Arial" w:cs="Arial"/>
        <w:b/>
        <w:bCs/>
        <w:color w:val="002860"/>
        <w:sz w:val="16"/>
        <w:szCs w:val="16"/>
      </w:rPr>
    </w:pPr>
  </w:p>
  <w:p w:rsidR="002557CE" w:rsidRDefault="002557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101" w:rsidRDefault="001E5101" w:rsidP="00F51A4F">
      <w:r>
        <w:separator/>
      </w:r>
    </w:p>
  </w:footnote>
  <w:footnote w:type="continuationSeparator" w:id="0">
    <w:p w:rsidR="001E5101" w:rsidRDefault="001E5101" w:rsidP="00F51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74" w:rsidRDefault="002557CE">
    <w:pPr>
      <w:pStyle w:val="Header"/>
    </w:pPr>
    <w:r>
      <w:rPr>
        <w:noProof/>
      </w:rPr>
      <w:drawing>
        <wp:anchor distT="0" distB="0" distL="114300" distR="114300" simplePos="0" relativeHeight="251658240" behindDoc="1" locked="0" layoutInCell="1" allowOverlap="1" wp14:anchorId="306E1CC8" wp14:editId="62A1E6CC">
          <wp:simplePos x="0" y="0"/>
          <wp:positionH relativeFrom="page">
            <wp:posOffset>0</wp:posOffset>
          </wp:positionH>
          <wp:positionV relativeFrom="page">
            <wp:posOffset>-638175</wp:posOffset>
          </wp:positionV>
          <wp:extent cx="7772400" cy="10687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body.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687050"/>
                  </a:xfrm>
                  <a:prstGeom prst="rect">
                    <a:avLst/>
                  </a:prstGeom>
                </pic:spPr>
              </pic:pic>
            </a:graphicData>
          </a:graphic>
          <wp14:sizeRelH relativeFrom="page">
            <wp14:pctWidth>0</wp14:pctWidth>
          </wp14:sizeRelH>
          <wp14:sizeRelV relativeFrom="page">
            <wp14:pctHeight>0</wp14:pctHeight>
          </wp14:sizeRelV>
        </wp:anchor>
      </w:drawing>
    </w:r>
  </w:p>
  <w:p w:rsidR="00B80574" w:rsidRDefault="00B80574">
    <w:pPr>
      <w:pStyle w:val="Header"/>
    </w:pPr>
  </w:p>
  <w:p w:rsidR="00B80574" w:rsidRDefault="00B80574">
    <w:pPr>
      <w:pStyle w:val="Header"/>
    </w:pPr>
  </w:p>
  <w:p w:rsidR="00B80574" w:rsidRDefault="00B80574">
    <w:pPr>
      <w:pStyle w:val="Header"/>
    </w:pPr>
  </w:p>
  <w:p w:rsidR="00B80574" w:rsidRPr="00B40E8E" w:rsidRDefault="00B80574" w:rsidP="002557CE">
    <w:pPr>
      <w:pStyle w:val="SPLHeadingWhite"/>
      <w:ind w:left="7200" w:firstLine="720"/>
      <w:rPr>
        <w:rFonts w:ascii="Avenir Heavy" w:hAnsi="Avenir Heavy" w:cs="Avenir Heavy"/>
        <w:caps w:val="0"/>
        <w:color w:val="27AAE1"/>
        <w:sz w:val="16"/>
        <w:szCs w:val="16"/>
      </w:rPr>
    </w:pPr>
    <w:r w:rsidRPr="00B40E8E">
      <w:rPr>
        <w:rFonts w:ascii="Avenir Heavy" w:hAnsi="Avenir Heavy" w:cs="Avenir Heavy"/>
        <w:caps w:val="0"/>
        <w:color w:val="27AAE1"/>
        <w:sz w:val="16"/>
        <w:szCs w:val="16"/>
      </w:rPr>
      <w:t>NWOrthopaedicSpecialists.com</w:t>
    </w:r>
  </w:p>
  <w:p w:rsidR="00F51A4F" w:rsidRDefault="00F51A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68A"/>
    <w:multiLevelType w:val="hybridMultilevel"/>
    <w:tmpl w:val="6CD6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E94242"/>
    <w:multiLevelType w:val="hybridMultilevel"/>
    <w:tmpl w:val="BDD087AA"/>
    <w:lvl w:ilvl="0" w:tplc="27D8D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01"/>
    <w:rsid w:val="000B6DE4"/>
    <w:rsid w:val="001619D7"/>
    <w:rsid w:val="001768EF"/>
    <w:rsid w:val="001E4995"/>
    <w:rsid w:val="001E5101"/>
    <w:rsid w:val="002520C2"/>
    <w:rsid w:val="002557CE"/>
    <w:rsid w:val="002E2292"/>
    <w:rsid w:val="003138BD"/>
    <w:rsid w:val="003B1809"/>
    <w:rsid w:val="004156E2"/>
    <w:rsid w:val="005C0401"/>
    <w:rsid w:val="00605ED0"/>
    <w:rsid w:val="00691F98"/>
    <w:rsid w:val="0079666B"/>
    <w:rsid w:val="007E57EE"/>
    <w:rsid w:val="00803543"/>
    <w:rsid w:val="008D4AD8"/>
    <w:rsid w:val="00901748"/>
    <w:rsid w:val="00945DA6"/>
    <w:rsid w:val="00B40E8E"/>
    <w:rsid w:val="00B80574"/>
    <w:rsid w:val="00BE1837"/>
    <w:rsid w:val="00BE4997"/>
    <w:rsid w:val="00C10590"/>
    <w:rsid w:val="00E00382"/>
    <w:rsid w:val="00E27CDD"/>
    <w:rsid w:val="00F5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8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A4F"/>
    <w:pPr>
      <w:tabs>
        <w:tab w:val="center" w:pos="4680"/>
        <w:tab w:val="right" w:pos="9360"/>
      </w:tabs>
    </w:pPr>
  </w:style>
  <w:style w:type="character" w:customStyle="1" w:styleId="HeaderChar">
    <w:name w:val="Header Char"/>
    <w:basedOn w:val="DefaultParagraphFont"/>
    <w:link w:val="Header"/>
    <w:uiPriority w:val="99"/>
    <w:rsid w:val="00F51A4F"/>
  </w:style>
  <w:style w:type="paragraph" w:styleId="Footer">
    <w:name w:val="footer"/>
    <w:basedOn w:val="Normal"/>
    <w:link w:val="FooterChar"/>
    <w:uiPriority w:val="99"/>
    <w:unhideWhenUsed/>
    <w:rsid w:val="00F51A4F"/>
    <w:pPr>
      <w:tabs>
        <w:tab w:val="center" w:pos="4680"/>
        <w:tab w:val="right" w:pos="9360"/>
      </w:tabs>
    </w:pPr>
  </w:style>
  <w:style w:type="character" w:customStyle="1" w:styleId="FooterChar">
    <w:name w:val="Footer Char"/>
    <w:basedOn w:val="DefaultParagraphFont"/>
    <w:link w:val="Footer"/>
    <w:uiPriority w:val="99"/>
    <w:rsid w:val="00F51A4F"/>
  </w:style>
  <w:style w:type="paragraph" w:customStyle="1" w:styleId="BasicParagraph">
    <w:name w:val="[Basic Paragraph]"/>
    <w:basedOn w:val="Normal"/>
    <w:uiPriority w:val="99"/>
    <w:rsid w:val="00E00382"/>
    <w:pPr>
      <w:autoSpaceDE w:val="0"/>
      <w:autoSpaceDN w:val="0"/>
      <w:adjustRightInd w:val="0"/>
      <w:spacing w:line="288" w:lineRule="auto"/>
      <w:textAlignment w:val="center"/>
    </w:pPr>
    <w:rPr>
      <w:rFonts w:ascii="Minion Pro" w:hAnsi="Minion Pro" w:cs="Minion Pro"/>
      <w:color w:val="000000"/>
    </w:rPr>
  </w:style>
  <w:style w:type="paragraph" w:customStyle="1" w:styleId="SPLHeadingWhite">
    <w:name w:val="SPL Heading White"/>
    <w:basedOn w:val="Normal"/>
    <w:uiPriority w:val="99"/>
    <w:rsid w:val="00B80574"/>
    <w:pPr>
      <w:autoSpaceDE w:val="0"/>
      <w:autoSpaceDN w:val="0"/>
      <w:adjustRightInd w:val="0"/>
      <w:spacing w:line="288" w:lineRule="auto"/>
      <w:textAlignment w:val="center"/>
    </w:pPr>
    <w:rPr>
      <w:rFonts w:ascii="Avenir Book" w:hAnsi="Avenir Book" w:cs="Avenir Book"/>
      <w:caps/>
      <w:color w:val="FFFFFF"/>
      <w:sz w:val="48"/>
      <w:szCs w:val="48"/>
    </w:rPr>
  </w:style>
  <w:style w:type="paragraph" w:customStyle="1" w:styleId="OneAECHeadline">
    <w:name w:val="OneAEC Headline"/>
    <w:basedOn w:val="Normal"/>
    <w:uiPriority w:val="99"/>
    <w:rsid w:val="00B80574"/>
    <w:pPr>
      <w:autoSpaceDE w:val="0"/>
      <w:autoSpaceDN w:val="0"/>
      <w:adjustRightInd w:val="0"/>
      <w:spacing w:line="260" w:lineRule="atLeast"/>
      <w:textAlignment w:val="center"/>
    </w:pPr>
    <w:rPr>
      <w:rFonts w:ascii="Avenir Black" w:hAnsi="Avenir Black" w:cs="Avenir Black"/>
      <w:color w:val="4CD8FF"/>
      <w:sz w:val="19"/>
      <w:szCs w:val="19"/>
    </w:rPr>
  </w:style>
  <w:style w:type="table" w:styleId="TableGrid">
    <w:name w:val="Table Grid"/>
    <w:basedOn w:val="TableNormal"/>
    <w:uiPriority w:val="59"/>
    <w:rsid w:val="00B80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557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7CE"/>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3B1809"/>
    <w:rPr>
      <w:rFonts w:ascii="Tahoma" w:hAnsi="Tahoma" w:cs="Tahoma"/>
      <w:sz w:val="16"/>
      <w:szCs w:val="16"/>
    </w:rPr>
  </w:style>
  <w:style w:type="character" w:customStyle="1" w:styleId="BalloonTextChar">
    <w:name w:val="Balloon Text Char"/>
    <w:basedOn w:val="DefaultParagraphFont"/>
    <w:link w:val="BalloonText"/>
    <w:uiPriority w:val="99"/>
    <w:semiHidden/>
    <w:rsid w:val="003B18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8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A4F"/>
    <w:pPr>
      <w:tabs>
        <w:tab w:val="center" w:pos="4680"/>
        <w:tab w:val="right" w:pos="9360"/>
      </w:tabs>
    </w:pPr>
  </w:style>
  <w:style w:type="character" w:customStyle="1" w:styleId="HeaderChar">
    <w:name w:val="Header Char"/>
    <w:basedOn w:val="DefaultParagraphFont"/>
    <w:link w:val="Header"/>
    <w:uiPriority w:val="99"/>
    <w:rsid w:val="00F51A4F"/>
  </w:style>
  <w:style w:type="paragraph" w:styleId="Footer">
    <w:name w:val="footer"/>
    <w:basedOn w:val="Normal"/>
    <w:link w:val="FooterChar"/>
    <w:uiPriority w:val="99"/>
    <w:unhideWhenUsed/>
    <w:rsid w:val="00F51A4F"/>
    <w:pPr>
      <w:tabs>
        <w:tab w:val="center" w:pos="4680"/>
        <w:tab w:val="right" w:pos="9360"/>
      </w:tabs>
    </w:pPr>
  </w:style>
  <w:style w:type="character" w:customStyle="1" w:styleId="FooterChar">
    <w:name w:val="Footer Char"/>
    <w:basedOn w:val="DefaultParagraphFont"/>
    <w:link w:val="Footer"/>
    <w:uiPriority w:val="99"/>
    <w:rsid w:val="00F51A4F"/>
  </w:style>
  <w:style w:type="paragraph" w:customStyle="1" w:styleId="BasicParagraph">
    <w:name w:val="[Basic Paragraph]"/>
    <w:basedOn w:val="Normal"/>
    <w:uiPriority w:val="99"/>
    <w:rsid w:val="00E00382"/>
    <w:pPr>
      <w:autoSpaceDE w:val="0"/>
      <w:autoSpaceDN w:val="0"/>
      <w:adjustRightInd w:val="0"/>
      <w:spacing w:line="288" w:lineRule="auto"/>
      <w:textAlignment w:val="center"/>
    </w:pPr>
    <w:rPr>
      <w:rFonts w:ascii="Minion Pro" w:hAnsi="Minion Pro" w:cs="Minion Pro"/>
      <w:color w:val="000000"/>
    </w:rPr>
  </w:style>
  <w:style w:type="paragraph" w:customStyle="1" w:styleId="SPLHeadingWhite">
    <w:name w:val="SPL Heading White"/>
    <w:basedOn w:val="Normal"/>
    <w:uiPriority w:val="99"/>
    <w:rsid w:val="00B80574"/>
    <w:pPr>
      <w:autoSpaceDE w:val="0"/>
      <w:autoSpaceDN w:val="0"/>
      <w:adjustRightInd w:val="0"/>
      <w:spacing w:line="288" w:lineRule="auto"/>
      <w:textAlignment w:val="center"/>
    </w:pPr>
    <w:rPr>
      <w:rFonts w:ascii="Avenir Book" w:hAnsi="Avenir Book" w:cs="Avenir Book"/>
      <w:caps/>
      <w:color w:val="FFFFFF"/>
      <w:sz w:val="48"/>
      <w:szCs w:val="48"/>
    </w:rPr>
  </w:style>
  <w:style w:type="paragraph" w:customStyle="1" w:styleId="OneAECHeadline">
    <w:name w:val="OneAEC Headline"/>
    <w:basedOn w:val="Normal"/>
    <w:uiPriority w:val="99"/>
    <w:rsid w:val="00B80574"/>
    <w:pPr>
      <w:autoSpaceDE w:val="0"/>
      <w:autoSpaceDN w:val="0"/>
      <w:adjustRightInd w:val="0"/>
      <w:spacing w:line="260" w:lineRule="atLeast"/>
      <w:textAlignment w:val="center"/>
    </w:pPr>
    <w:rPr>
      <w:rFonts w:ascii="Avenir Black" w:hAnsi="Avenir Black" w:cs="Avenir Black"/>
      <w:color w:val="4CD8FF"/>
      <w:sz w:val="19"/>
      <w:szCs w:val="19"/>
    </w:rPr>
  </w:style>
  <w:style w:type="table" w:styleId="TableGrid">
    <w:name w:val="Table Grid"/>
    <w:basedOn w:val="TableNormal"/>
    <w:uiPriority w:val="59"/>
    <w:rsid w:val="00B80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557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7CE"/>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3B1809"/>
    <w:rPr>
      <w:rFonts w:ascii="Tahoma" w:hAnsi="Tahoma" w:cs="Tahoma"/>
      <w:sz w:val="16"/>
      <w:szCs w:val="16"/>
    </w:rPr>
  </w:style>
  <w:style w:type="character" w:customStyle="1" w:styleId="BalloonTextChar">
    <w:name w:val="Balloon Text Char"/>
    <w:basedOn w:val="DefaultParagraphFont"/>
    <w:link w:val="BalloonText"/>
    <w:uiPriority w:val="99"/>
    <w:semiHidden/>
    <w:rsid w:val="003B18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8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wman\Desktop\save%20then%20delete\nwos_letterhead_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121E-20BE-4B47-8BFD-F4720A78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nwos_letterhead_template (2).dotx</Template>
  <TotalTime>1</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NWOS</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2018-07-19T22:59:00Z</cp:lastPrinted>
  <dcterms:created xsi:type="dcterms:W3CDTF">2018-09-27T18:17:00Z</dcterms:created>
  <dcterms:modified xsi:type="dcterms:W3CDTF">2018-09-27T18:17:00Z</dcterms:modified>
</cp:coreProperties>
</file>